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A998" w14:textId="21642875" w:rsidR="00AD676F" w:rsidRPr="00AD676F" w:rsidRDefault="00AD676F" w:rsidP="00AD676F">
      <w:pPr>
        <w:pStyle w:val="Header"/>
        <w:rPr>
          <w:rFonts w:asciiTheme="minorHAnsi" w:hAnsiTheme="minorHAnsi" w:cstheme="minorHAnsi"/>
          <w:b/>
          <w:bCs/>
          <w:sz w:val="44"/>
          <w:szCs w:val="44"/>
        </w:rPr>
      </w:pPr>
      <w:r w:rsidRPr="00AD676F">
        <w:rPr>
          <w:rFonts w:asciiTheme="minorHAnsi" w:hAnsiTheme="minorHAnsi" w:cstheme="minorHAnsi"/>
          <w:b/>
          <w:bCs/>
          <w:i/>
          <w:iCs/>
          <w:sz w:val="44"/>
          <w:szCs w:val="44"/>
        </w:rPr>
        <w:t>Distance Education</w:t>
      </w:r>
      <w:r w:rsidRPr="00AD676F">
        <w:rPr>
          <w:rFonts w:asciiTheme="minorHAnsi" w:hAnsiTheme="minorHAnsi" w:cstheme="minorHAnsi"/>
          <w:b/>
          <w:bCs/>
          <w:sz w:val="44"/>
          <w:szCs w:val="44"/>
        </w:rPr>
        <w:t xml:space="preserve"> Special Issue:</w:t>
      </w:r>
      <w:r w:rsidRPr="00AD676F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AD676F">
        <w:rPr>
          <w:rFonts w:asciiTheme="minorHAnsi" w:hAnsiTheme="minorHAnsi" w:cstheme="minorHAnsi"/>
          <w:b/>
          <w:bCs/>
          <w:sz w:val="44"/>
          <w:szCs w:val="44"/>
        </w:rPr>
        <w:t>“Inclusive Distance Education for Learners with Dis/Abilities”</w:t>
      </w:r>
    </w:p>
    <w:p w14:paraId="20B7825F" w14:textId="77777777" w:rsidR="00AD676F" w:rsidRDefault="00AD676F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EE4396" w14:textId="3726715B" w:rsidR="00200118" w:rsidRPr="00AD676F" w:rsidRDefault="00D3316E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Leading up to</w:t>
      </w:r>
      <w:r w:rsidR="00AD676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now moving through the COVID-19 Pandemic, educational institutions at all levels were developing a greater awareness of </w:t>
      </w:r>
      <w:r w:rsidR="00CA40B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learners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diverse physical, emotional and learning challenges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(de Bruin 2019; </w:t>
      </w:r>
      <w:proofErr w:type="spellStart"/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Sniatecki</w:t>
      </w:r>
      <w:proofErr w:type="spellEnd"/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et al., 2015; </w:t>
      </w:r>
      <w:proofErr w:type="spellStart"/>
      <w:r w:rsidR="00D726C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Kocdar</w:t>
      </w:r>
      <w:proofErr w:type="spellEnd"/>
      <w:r w:rsidR="00D726C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Bozkurt, 2022; 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Weedon &amp; Riddell 2016). </w:t>
      </w:r>
      <w:r w:rsidR="0017177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Despite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heightened awareness, educational opportunities for learners with dis/abilities are lagging. For example, while enrollment in institutions of higher education in the U.S. is increasing, degree completion rates for students with dis</w:t>
      </w:r>
      <w:r w:rsidR="0017177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abilities has been low (</w:t>
      </w:r>
      <w:proofErr w:type="spellStart"/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Järkestig</w:t>
      </w:r>
      <w:proofErr w:type="spellEnd"/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Berggren et al. 2016). </w:t>
      </w:r>
    </w:p>
    <w:p w14:paraId="02D9DA19" w14:textId="77777777" w:rsidR="00200118" w:rsidRPr="00AD676F" w:rsidRDefault="00200118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DFBAAD" w14:textId="07A010A9" w:rsidR="00D3316E" w:rsidRPr="00AD676F" w:rsidRDefault="0017177E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Learners</w:t>
      </w:r>
      <w:r w:rsidR="00D3316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26C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are identified with disabilities are often seen for what they are unable to do without support versus what they </w:t>
      </w:r>
      <w:r w:rsidR="00D726CC"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can do</w:t>
      </w:r>
      <w:r w:rsidR="00D726C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learning settings. Thus, it is critical to consider shifts in thinking from disability to dis/ability where learners are also acknowledged for their strengths and potential. Currently,</w:t>
      </w:r>
      <w:r w:rsidR="00D3316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26C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these learners are considered</w:t>
      </w:r>
      <w:r w:rsidR="00D3316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at-risk of not receiving the same level of education as their peers, and thus there </w:t>
      </w:r>
      <w:r w:rsidR="00CA40B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was a</w:t>
      </w:r>
      <w:r w:rsidR="00D3316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‘necessity and urgency’ to provide </w:t>
      </w:r>
      <w:r w:rsidR="00CA40B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learners</w:t>
      </w:r>
      <w:r w:rsidR="00D3316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dis/abilit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ies</w:t>
      </w:r>
      <w:r w:rsidR="00CA40B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3316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access to the regular education system (UNESCO 1994, viii). Nations </w:t>
      </w:r>
      <w:r w:rsidR="00CA40B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have stated their agreement and</w:t>
      </w:r>
      <w:r w:rsidR="00D3316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desire to provide an inclusive learning environment through their signing of the Salamanca Statement (1994), </w:t>
      </w:r>
      <w:r w:rsidR="00CA40B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was re-affirmed with </w:t>
      </w:r>
      <w:r w:rsidR="00D3316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the signing and rectification of the UN Convention on the Rights of Persons with Disabilities</w:t>
      </w:r>
      <w:r w:rsidR="00CA40B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(2006), the 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Millennium</w:t>
      </w:r>
      <w:r w:rsidR="00CA40B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Development Goals (2000), and most recently the UN Sustainable Development Goals (2016). As a result of these global movements, many countries have clarified and amended their respective laws to include access for learner with dis/abilities to educational opportunities at all levels. </w:t>
      </w:r>
    </w:p>
    <w:p w14:paraId="722E661E" w14:textId="27A304B0" w:rsidR="00CA40B0" w:rsidRPr="00AD676F" w:rsidRDefault="00CA40B0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DA349D" w14:textId="08D83FB0" w:rsidR="00CA40B0" w:rsidRPr="00AD676F" w:rsidRDefault="00CA40B0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increasing use of distance learning strategies and affordances during the COVID-19 pandemic for all students can be seen as both an affordance and a barrier for 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learners with dis/abilities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7177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review of literature from </w:t>
      </w:r>
      <w:proofErr w:type="spellStart"/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Kinash</w:t>
      </w:r>
      <w:proofErr w:type="spellEnd"/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al. (2004) found that attending to the needs of students with dis</w:t>
      </w:r>
      <w:r w:rsidR="00D726C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abilities held strong promise for ensuring online education would be accessible for all students, regardless of disability identity or status. This promising finding ha</w:t>
      </w:r>
      <w:r w:rsidR="0017177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not found its way into the growing use of technology 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distance and online learning. </w:t>
      </w:r>
      <w:r w:rsidR="0017177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Instead, t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here is a growing concern that access to the distance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/online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educational setting </w:t>
      </w:r>
      <w:r w:rsidR="009640A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will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40A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solidfy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within an ableist framing as it 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develops into a normative way of learning</w:t>
      </w:r>
      <w:r w:rsidR="009640A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away from the discourse of 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alternative</w:t>
      </w:r>
      <w:r w:rsidR="009640A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disruptive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method</w:t>
      </w:r>
      <w:r w:rsidR="009640A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AD713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learning. 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is unfortunate since there is evidence that accessible instruction and inclusive practice lead to achievement for all students (Black et. al., 2014; </w:t>
      </w:r>
      <w:proofErr w:type="spellStart"/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Burgstahler</w:t>
      </w:r>
      <w:proofErr w:type="spellEnd"/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2015; </w:t>
      </w:r>
      <w:proofErr w:type="spellStart"/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Hromalik</w:t>
      </w:r>
      <w:proofErr w:type="spellEnd"/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 al., 2018)</w:t>
      </w:r>
      <w:r w:rsidR="00D726C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C65350C" w14:textId="77777777" w:rsidR="00D3316E" w:rsidRPr="00AD676F" w:rsidRDefault="00D3316E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B8723A" w14:textId="0267CE73" w:rsidR="00283975" w:rsidRPr="00AD676F" w:rsidRDefault="00C319EA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Such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insights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have important implications as universities </w:t>
      </w:r>
      <w:r w:rsidR="00E62C67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K-12 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educational settings have increased their use of 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online and distance education strategies during the pandemic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will likely continue to do so in the foreseeable future.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B1EF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ince these modalities have the potential to address accessibility barriers and reshape expectations for when and how learning might occur</w:t>
      </w:r>
      <w:r w:rsidR="004124B4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it is important to review how these strategies impact learners with dis/abilities in its current form</w:t>
      </w:r>
      <w:r w:rsidR="004124B4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(Xie et al., 2021)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Clearly, 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it cannot be expected that students who stand to benefit substantially from inclusive efforts</w:t>
      </w:r>
      <w:r w:rsidR="00CC6AA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such as increased accessibility of course materials</w:t>
      </w:r>
      <w:r w:rsidR="00CC6AA0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will automatically succeed merely because they are learning online or in some type of distance setting (Barbour &amp; Reeves, 2009; Layne et al., 201</w:t>
      </w:r>
      <w:r w:rsidR="00550439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283975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Xu &amp; Jaggars, 2014). </w:t>
      </w:r>
    </w:p>
    <w:p w14:paraId="18BEA854" w14:textId="654C60D3" w:rsidR="00283975" w:rsidRPr="00AD676F" w:rsidRDefault="00283975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D9D9EC" w14:textId="4A6BF204" w:rsidR="00F17ECD" w:rsidRPr="00AD676F" w:rsidRDefault="00283975" w:rsidP="00AD67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purpose of this special issue of 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Distance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to </w:t>
      </w:r>
      <w:r w:rsidR="00F3441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share research and theorize distance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/online </w:t>
      </w:r>
      <w:r w:rsidR="00F3441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education practices</w:t>
      </w:r>
      <w:r w:rsidR="00B1337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across higher education and school settings (K-12)</w:t>
      </w:r>
      <w:r w:rsidR="00F3441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attend to the inclusion of learners with dis/abilities. </w:t>
      </w:r>
      <w:r w:rsidR="005B7A59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Accepted manuscripts will represent exemplary scholarship, reflect </w:t>
      </w:r>
      <w:r w:rsidR="005B7A59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international perspectives, and embody 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spirit of inclusion </w:t>
      </w:r>
      <w:r w:rsidR="005B7A59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the use of terminology, study design, and theoretical framing. </w:t>
      </w:r>
    </w:p>
    <w:p w14:paraId="343E3716" w14:textId="77777777" w:rsidR="00283975" w:rsidRPr="00AD676F" w:rsidRDefault="00283975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0E2B7F" w14:textId="1DBEAE33" w:rsidR="00F07981" w:rsidRPr="00AD676F" w:rsidRDefault="00F17ECD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Suggested </w:t>
      </w:r>
      <w:r w:rsidR="00E62C67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topics for this issue include: </w:t>
      </w:r>
    </w:p>
    <w:p w14:paraId="372DA648" w14:textId="77777777" w:rsidR="005E1FD3" w:rsidRPr="00AD676F" w:rsidRDefault="005E1FD3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2709C7" w14:textId="5FCCA4EC" w:rsidR="00FC2954" w:rsidRPr="00360646" w:rsidRDefault="00E62C67" w:rsidP="0036064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Analys</w:t>
      </w:r>
      <w:r w:rsidR="00D25879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s/critique of policies in government</w:t>
      </w:r>
      <w:r w:rsidR="00120A2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B1337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law-making bodies that expand or constrain online and distance learning </w:t>
      </w:r>
      <w:r w:rsidR="005E1FD3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="00B1337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their potential </w:t>
      </w:r>
      <w:r w:rsidR="005B7A59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to include/exclude</w:t>
      </w:r>
      <w:r w:rsidR="00B1337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learners with dis/abilities</w:t>
      </w:r>
      <w:r w:rsidR="003606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1337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8DAD79D" w14:textId="48DFEA98" w:rsidR="00B1337F" w:rsidRPr="00360646" w:rsidRDefault="00FC2954" w:rsidP="00AD676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Analysis/critique of understanding about how to support learners with dis</w:t>
      </w:r>
      <w:r w:rsidR="002B7E03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abilities across primary, secondary, and tertiary distance education settings </w:t>
      </w:r>
      <w:r w:rsidR="005E1FD3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various domains, including 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but not </w:t>
      </w:r>
      <w:r w:rsidR="005E1FD3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restricted to academic learning, social-emotional learning and life-long learnin</w:t>
      </w:r>
      <w:r w:rsidR="00D25879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  <w:r w:rsidR="003606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E1FD3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35968A8" w14:textId="5137ADFF" w:rsidR="00200118" w:rsidRPr="00360646" w:rsidRDefault="00B1337F" w:rsidP="00AD676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Empirical work</w:t>
      </w:r>
      <w:r w:rsidR="00AE068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including design</w:t>
      </w:r>
      <w:r w:rsidR="005E1FD3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AE068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based research approaches, 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documenting attempts at inclusive design and/or instruction in distance </w:t>
      </w:r>
      <w:r w:rsidR="00AE068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education or online 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settings and the various outcomes of these attempts</w:t>
      </w:r>
      <w:r w:rsidR="0020011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including student</w:t>
      </w:r>
      <w:r w:rsidR="003156E4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outcomes.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3156E4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Note: P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lease do not send a study of perceptional outcomes without other sources of data)</w:t>
      </w:r>
      <w:r w:rsidR="003606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810DE01" w14:textId="601AF53D" w:rsidR="00200118" w:rsidRPr="00360646" w:rsidRDefault="00200118" w:rsidP="0036064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Empirical or theoretical work about transition to</w:t>
      </w:r>
      <w:r w:rsidR="0036064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from distance educational spaces as well as between two distance education spaces</w:t>
      </w:r>
      <w:r w:rsidR="003606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FECC02A" w14:textId="053F0AB1" w:rsidR="00120A28" w:rsidRPr="00360646" w:rsidRDefault="00B1337F" w:rsidP="00360646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Theoretical work highlighting the intersectional and evolving notions of dis/ability and its implications for distance education</w:t>
      </w:r>
      <w:r w:rsidR="00AE63D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; this can include post-human theories and lenses</w:t>
      </w:r>
      <w:r w:rsidR="0036064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E53CD03" w14:textId="3007E76A" w:rsidR="00120A28" w:rsidRPr="00AD676F" w:rsidRDefault="00120A28" w:rsidP="00AD676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The preparation of instructors at primary, secondary, or tertiary education to teach online in ways that are inclusive and informed about dis/ability</w:t>
      </w:r>
      <w:r w:rsidR="00AE63D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—meaning </w:t>
      </w:r>
      <w:r w:rsidR="008B11B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that instructors learn to teach</w:t>
      </w:r>
      <w:r w:rsidR="00AE63D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11B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using </w:t>
      </w:r>
      <w:r w:rsidR="00AE63D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perspectives </w:t>
      </w:r>
      <w:r w:rsidR="0068613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other than</w:t>
      </w:r>
      <w:r w:rsidR="00AE63D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11B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traditional </w:t>
      </w:r>
      <w:r w:rsidR="00AE63D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behavior and/or cognitive construction of </w:t>
      </w:r>
      <w:r w:rsidR="008B11B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learning and </w:t>
      </w:r>
      <w:r w:rsidR="00AE63D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disability </w:t>
      </w:r>
    </w:p>
    <w:p w14:paraId="334B26B5" w14:textId="77777777" w:rsidR="00FC2954" w:rsidRPr="00AD676F" w:rsidRDefault="00FC2954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8E5477" w14:textId="276C2F7D" w:rsidR="00FC2954" w:rsidRPr="00AD676F" w:rsidRDefault="00FC2954" w:rsidP="00AD676F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Timeline</w:t>
      </w:r>
    </w:p>
    <w:p w14:paraId="6F692E3C" w14:textId="5C1DEB0C" w:rsidR="00FC2954" w:rsidRPr="00AD676F" w:rsidRDefault="00FC2954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Submission of </w:t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500-word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abstract</w:t>
      </w:r>
      <w:r w:rsidR="00E86BF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hyperlink r:id="rId7" w:history="1">
        <w:r w:rsidR="00E86BFE" w:rsidRPr="00AD676F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maryrice@unm.edu</w:t>
        </w:r>
      </w:hyperlink>
      <w:r w:rsidR="00E86BFE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60646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May </w:t>
      </w:r>
      <w:r w:rsidR="00887ED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16</w:t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2022</w:t>
      </w:r>
    </w:p>
    <w:p w14:paraId="7BEE280C" w14:textId="74EB409B" w:rsidR="00FC2954" w:rsidRPr="00AD676F" w:rsidRDefault="00E41FCA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Notification</w:t>
      </w:r>
      <w:r w:rsidR="00FC2954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invitation of articles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May </w:t>
      </w:r>
      <w:r w:rsidR="00887ED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2022</w:t>
      </w:r>
    </w:p>
    <w:p w14:paraId="26D11333" w14:textId="02CF24AC" w:rsidR="00FC2954" w:rsidRPr="00AD676F" w:rsidRDefault="00FC2954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First draft submitted through </w:t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Manuscript Central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="00E41FCA"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Distance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Education</w:t>
      </w:r>
      <w:r w:rsidR="00E41FCA"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="0036064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Ju</w:t>
      </w:r>
      <w:r w:rsidR="0051155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ly</w:t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7ED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51155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2022</w:t>
      </w:r>
    </w:p>
    <w:p w14:paraId="2EE65730" w14:textId="5E78371D" w:rsidR="00FC2954" w:rsidRPr="00AD676F" w:rsidRDefault="00FC2954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Revision notifications</w:t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August </w:t>
      </w:r>
      <w:r w:rsidR="0051155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887EDF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2022</w:t>
      </w:r>
    </w:p>
    <w:p w14:paraId="5643199F" w14:textId="7E9A30A4" w:rsidR="00FC2954" w:rsidRPr="00AD676F" w:rsidRDefault="00FC2954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Second draft </w:t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submitted through Manuscript Central</w:t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41FCA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September </w:t>
      </w:r>
      <w:r w:rsidR="0051155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26</w:t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2022</w:t>
      </w:r>
    </w:p>
    <w:p w14:paraId="45EC5E35" w14:textId="4B6E2A0F" w:rsidR="00E41FCA" w:rsidRPr="00AD676F" w:rsidRDefault="00E41FCA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Final notifications of acceptance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11551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October 10</w:t>
      </w:r>
      <w:r w:rsidR="00A5511C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2022</w:t>
      </w:r>
    </w:p>
    <w:p w14:paraId="175A0DAE" w14:textId="74CB95B6" w:rsidR="00FC2954" w:rsidRPr="00AD676F" w:rsidRDefault="00FC2954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00B965" w14:textId="0E64CAA3" w:rsidR="00FC2954" w:rsidRPr="00AD676F" w:rsidRDefault="00FC2954" w:rsidP="00AD676F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Special Issue Editors</w:t>
      </w:r>
      <w:r w:rsidR="00CC4E20" w:rsidRPr="00AD67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A37D6E6" w14:textId="5B9B0A6A" w:rsidR="00FC2954" w:rsidRPr="00360646" w:rsidRDefault="00FC2954" w:rsidP="00AD676F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06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Mary Rice</w:t>
      </w:r>
    </w:p>
    <w:p w14:paraId="65EB798B" w14:textId="1CD68610" w:rsidR="009978C7" w:rsidRPr="00AD676F" w:rsidRDefault="009978C7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University of New Mexico, Albuquerque, U</w:t>
      </w:r>
      <w:r w:rsidR="00A977C6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SA</w:t>
      </w:r>
    </w:p>
    <w:p w14:paraId="0FA192BD" w14:textId="694EAEFF" w:rsidR="00FC2954" w:rsidRPr="00AD676F" w:rsidRDefault="00633191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8" w:history="1">
        <w:r w:rsidR="004B6AA8" w:rsidRPr="00AD676F">
          <w:rPr>
            <w:rStyle w:val="Hyperlink"/>
            <w:rFonts w:asciiTheme="minorHAnsi" w:hAnsiTheme="minorHAnsi" w:cstheme="minorHAnsi"/>
            <w:sz w:val="22"/>
            <w:szCs w:val="22"/>
          </w:rPr>
          <w:t>maryrice@unm.edu</w:t>
        </w:r>
      </w:hyperlink>
      <w:r w:rsidR="004B6AA8" w:rsidRPr="00AD67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7A5556" w14:textId="5E288F05" w:rsidR="002D4441" w:rsidRPr="00AD676F" w:rsidRDefault="002D4441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03974B" w14:textId="4CCDFC7D" w:rsidR="002D4441" w:rsidRPr="00360646" w:rsidRDefault="002D4441" w:rsidP="00AD676F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064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Michael Dunn</w:t>
      </w:r>
    </w:p>
    <w:p w14:paraId="155C17F6" w14:textId="2F438BF4" w:rsidR="002D4441" w:rsidRPr="00AD676F" w:rsidRDefault="002D4441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Washington State University, Vancouver, USA</w:t>
      </w:r>
    </w:p>
    <w:p w14:paraId="099C1B97" w14:textId="29E010F1" w:rsidR="00B1337F" w:rsidRPr="00AD676F" w:rsidRDefault="00633191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9" w:history="1">
        <w:r w:rsidR="004B6AA8" w:rsidRPr="00AD676F">
          <w:rPr>
            <w:rStyle w:val="Hyperlink"/>
            <w:rFonts w:asciiTheme="minorHAnsi" w:hAnsiTheme="minorHAnsi" w:cstheme="minorHAnsi"/>
            <w:sz w:val="22"/>
            <w:szCs w:val="22"/>
          </w:rPr>
          <w:t>dunnmi@wsu.edu</w:t>
        </w:r>
      </w:hyperlink>
      <w:r w:rsidR="004B6AA8"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3F6A4C7" w14:textId="781C14BF" w:rsidR="004B6AA8" w:rsidRPr="00AD676F" w:rsidRDefault="004B6AA8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A53658" w14:textId="6367D5BC" w:rsidR="00AE41BC" w:rsidRPr="00AD676F" w:rsidRDefault="00334210" w:rsidP="00360646">
      <w:pPr>
        <w:pBdr>
          <w:top w:val="single" w:sz="4" w:space="1" w:color="auto"/>
        </w:pBd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References</w:t>
      </w:r>
    </w:p>
    <w:p w14:paraId="67748109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2959DE5B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Barbour, M. K., &amp; Reeves, T. C. (2009). The reality of virtual schools: A review of the literature.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Computers &amp;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52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(2), 402-416.</w:t>
      </w:r>
    </w:p>
    <w:p w14:paraId="77B424B1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Burgstahler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S., &amp; Russo-</w:t>
      </w: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Gleicher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R. J. (2015). Applying universal design to address the needs of postsecondary students on the autism spectrum.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Journal of Postsecondary Education and Disability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28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(2), 199-212.</w:t>
      </w:r>
    </w:p>
    <w:p w14:paraId="54F0A01F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>De Bruin, K. (2019). The impact of inclusive education reforms on students with disability: An international comparison.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International journal of inclusive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23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(7-8), 811-826.</w:t>
      </w:r>
    </w:p>
    <w:p w14:paraId="2E3BAEFD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Hromalik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C. D., &amp; </w:t>
      </w: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Koszalka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T. A. (2018). Self-regulation of the use of digital resources in an online language learning course improves learning outcomes.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Distance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39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(4), 528-547.</w:t>
      </w:r>
    </w:p>
    <w:p w14:paraId="42B4DEB3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0" w:history="1">
        <w:r w:rsidRPr="00AD676F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https://www.westga.edu/~distance/ojdla/summer162/layne_boston_ice162.html</w:t>
        </w:r>
      </w:hyperlink>
    </w:p>
    <w:p w14:paraId="2FD05B1C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Järkestig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Berggren, U., Rowan, D., </w:t>
      </w: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Bergbäck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E., &amp; Blomberg, B. (2016). Disabled students’ experiences of higher education in Sweden, the Czech Republic, and the United States–a comparative institutional analysis.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Disability &amp; Society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31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(3), 339-356.</w:t>
      </w:r>
    </w:p>
    <w:p w14:paraId="67441218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Kinash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S., Crichton, S., &amp; Kim-</w:t>
      </w: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Rupnow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W. S. (2004). A review of 2000-2003 literature at the intersection of online learning and disability.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American Journal of Distance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18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(1), 5-19.</w:t>
      </w:r>
    </w:p>
    <w:p w14:paraId="39770327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Kocdar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S., Bozkurt A. (2022) Supporting learners with special needs in Open, Distance, and digital education. In Zawacki-Richter O., Jung I. (Eds.) 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Handbook of open, distance and digital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hyperlink r:id="rId11" w:history="1">
        <w:r w:rsidRPr="00AD676F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https://doi.org/10.1007/978-981-19-0351-9_49-1</w:t>
        </w:r>
      </w:hyperlink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5C0C03E" w14:textId="77777777" w:rsidR="00360646" w:rsidRPr="00AD676F" w:rsidRDefault="00360646" w:rsidP="00360646">
      <w:pPr>
        <w:ind w:left="540" w:hanging="540"/>
        <w:jc w:val="both"/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Style w:val="hlfld-contribauthor"/>
          <w:rFonts w:asciiTheme="minorHAnsi" w:hAnsiTheme="minorHAnsi" w:cstheme="minorHAnsi"/>
          <w:color w:val="000000" w:themeColor="text1"/>
          <w:sz w:val="22"/>
          <w:szCs w:val="22"/>
        </w:rPr>
        <w:t>Layne,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Style w:val="nlmgiven-names"/>
          <w:rFonts w:asciiTheme="minorHAnsi" w:hAnsiTheme="minorHAnsi" w:cstheme="minorHAnsi"/>
          <w:color w:val="000000" w:themeColor="text1"/>
          <w:sz w:val="22"/>
          <w:szCs w:val="22"/>
        </w:rPr>
        <w:t>M.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Style w:val="hlfld-contribauthor"/>
          <w:rFonts w:asciiTheme="minorHAnsi" w:hAnsiTheme="minorHAnsi" w:cstheme="minorHAnsi"/>
          <w:color w:val="000000" w:themeColor="text1"/>
          <w:sz w:val="22"/>
          <w:szCs w:val="22"/>
        </w:rPr>
        <w:t>Boston,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Style w:val="nlmgiven-names"/>
          <w:rFonts w:asciiTheme="minorHAnsi" w:hAnsiTheme="minorHAnsi" w:cstheme="minorHAnsi"/>
          <w:color w:val="000000" w:themeColor="text1"/>
          <w:sz w:val="22"/>
          <w:szCs w:val="22"/>
        </w:rPr>
        <w:t>W. E.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&amp;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Style w:val="hlfld-contribauthor"/>
          <w:rFonts w:asciiTheme="minorHAnsi" w:hAnsiTheme="minorHAnsi" w:cstheme="minorHAnsi"/>
          <w:color w:val="000000" w:themeColor="text1"/>
          <w:sz w:val="22"/>
          <w:szCs w:val="22"/>
        </w:rPr>
        <w:t>Ice,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Style w:val="nlmgiven-names"/>
          <w:rFonts w:asciiTheme="minorHAnsi" w:hAnsiTheme="minorHAnsi" w:cstheme="minorHAnsi"/>
          <w:color w:val="000000" w:themeColor="text1"/>
          <w:sz w:val="22"/>
          <w:szCs w:val="22"/>
        </w:rPr>
        <w:t>P.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AD676F">
        <w:rPr>
          <w:rStyle w:val="nlmyear"/>
          <w:rFonts w:asciiTheme="minorHAnsi" w:hAnsiTheme="minorHAnsi" w:cstheme="minorHAnsi"/>
          <w:color w:val="000000" w:themeColor="text1"/>
          <w:sz w:val="22"/>
          <w:szCs w:val="22"/>
        </w:rPr>
        <w:t>2013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Style w:val="nlmarticle-title"/>
          <w:rFonts w:asciiTheme="minorHAnsi" w:hAnsiTheme="minorHAnsi" w:cstheme="minorHAnsi"/>
          <w:color w:val="000000" w:themeColor="text1"/>
          <w:sz w:val="22"/>
          <w:szCs w:val="22"/>
        </w:rPr>
        <w:t>A longitudinal study of online learners: Shoppers, swirlers, stoppers, and succeeders as a function of demographic characteristics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Online Journal of Distance Learning Administration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, 16(2),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AD676F">
        <w:rPr>
          <w:rStyle w:val="nlmfpage"/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AD676F">
        <w:rPr>
          <w:rStyle w:val="nlmlpage"/>
          <w:rFonts w:asciiTheme="minorHAnsi" w:hAnsiTheme="minorHAnsi" w:cstheme="minorHAnsi"/>
          <w:color w:val="000000" w:themeColor="text1"/>
          <w:sz w:val="22"/>
          <w:szCs w:val="22"/>
        </w:rPr>
        <w:t>-12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E9BD287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Nair, S., Naidu, V., Judd, M., </w:t>
      </w: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Kinash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S., Fleming, J., Santhanam, E., ... &amp; Tulloch, M. (2015). Case studies to enhance online student evaluation: University of Western Australia–A journey towards greater engagement through closing-the-loop.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Learning and Teaching papers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118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6AE8743C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Sniatecki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J. L., Perry, H. B., &amp; Snell, L. H. (2015). Faculty Attitudes and Knowledge Regarding College Students with Disabilities.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Journal of Postsecondary Education and Disability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28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(3), 259-275.</w:t>
      </w:r>
    </w:p>
    <w:p w14:paraId="72C010EA" w14:textId="77777777" w:rsidR="00360646" w:rsidRPr="00AD676F" w:rsidRDefault="00360646" w:rsidP="00360646">
      <w:pPr>
        <w:pStyle w:val="NormalWeb"/>
        <w:spacing w:before="0" w:beforeAutospacing="0" w:after="0" w:afterAutospacing="0"/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UNESCO (1994). 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The Salamanca Statement and Framework for Action on Special Needs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D55C93C" w14:textId="77777777" w:rsidR="00360646" w:rsidRPr="00AD676F" w:rsidRDefault="00360646" w:rsidP="00360646">
      <w:pPr>
        <w:pStyle w:val="NormalWeb"/>
        <w:spacing w:before="0" w:beforeAutospacing="0" w:after="0" w:afterAutospacing="0"/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United Nations (2016). 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2030 Agenda for Sustainable Development.</w:t>
      </w:r>
    </w:p>
    <w:p w14:paraId="6F15CFBF" w14:textId="77777777" w:rsidR="00360646" w:rsidRPr="00AD676F" w:rsidRDefault="00360646" w:rsidP="00360646">
      <w:pPr>
        <w:pStyle w:val="NormalWeb"/>
        <w:spacing w:before="0" w:beforeAutospacing="0" w:after="0" w:afterAutospacing="0"/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United Nations. (2000). 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United Nations Millennium Declaration.</w:t>
      </w:r>
    </w:p>
    <w:p w14:paraId="32CFC122" w14:textId="77777777" w:rsidR="00360646" w:rsidRPr="00AD676F" w:rsidRDefault="00360646" w:rsidP="00360646">
      <w:pPr>
        <w:pStyle w:val="NormalWeb"/>
        <w:spacing w:before="0" w:beforeAutospacing="0" w:after="0" w:afterAutospacing="0"/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United Nations. (2006). 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Convention on the Rights of Persons with Disabilities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6730FACF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Weedon, E., &amp; Riddell, S. (2016). Higher education in Europe: widening participation. In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Widening higher education participation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(pp. 49-61). </w:t>
      </w:r>
      <w:proofErr w:type="spellStart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Chandos</w:t>
      </w:r>
      <w:proofErr w:type="spellEnd"/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Publishing.</w:t>
      </w:r>
    </w:p>
    <w:p w14:paraId="5D12BFA6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Xie, J., Gulinna, A., &amp; Rice, M. F. (2021). Instructional designers’ roles in emergency remote teaching during COVID-19.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Distance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42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(1), 70-87.</w:t>
      </w:r>
    </w:p>
    <w:p w14:paraId="334F2516" w14:textId="77777777" w:rsidR="00360646" w:rsidRPr="00AD676F" w:rsidRDefault="00360646" w:rsidP="00360646">
      <w:pPr>
        <w:ind w:left="540" w:hanging="5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Xu, D., &amp; Jaggars, S. S. (2014). Performance gaps between online and face-to-face courses: Differences across types of students and academic subject areas.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The Journal of Higher Education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D676F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AD676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85</w:t>
      </w:r>
      <w:r w:rsidRPr="00AD67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(5), 633-659.</w:t>
      </w:r>
    </w:p>
    <w:p w14:paraId="32B83376" w14:textId="77777777" w:rsidR="00306212" w:rsidRPr="00AD676F" w:rsidRDefault="00306212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4737F7" w14:textId="77777777" w:rsidR="00D4239C" w:rsidRPr="00AD676F" w:rsidRDefault="00D4239C" w:rsidP="00AD676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E176D3" w14:textId="77777777" w:rsidR="001900F3" w:rsidRPr="00AD676F" w:rsidRDefault="001900F3" w:rsidP="00AD676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1900F3" w:rsidRPr="00AD676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4298" w14:textId="77777777" w:rsidR="00633191" w:rsidRDefault="00633191" w:rsidP="00673FDD">
      <w:r>
        <w:separator/>
      </w:r>
    </w:p>
  </w:endnote>
  <w:endnote w:type="continuationSeparator" w:id="0">
    <w:p w14:paraId="6197F257" w14:textId="77777777" w:rsidR="00633191" w:rsidRDefault="00633191" w:rsidP="0067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838572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334C2" w14:textId="4139292C" w:rsidR="002601C9" w:rsidRPr="002601C9" w:rsidRDefault="002601C9">
        <w:pPr>
          <w:pStyle w:val="Footer"/>
          <w:jc w:val="right"/>
          <w:rPr>
            <w:sz w:val="16"/>
            <w:szCs w:val="16"/>
          </w:rPr>
        </w:pPr>
        <w:r w:rsidRPr="002601C9">
          <w:rPr>
            <w:sz w:val="16"/>
            <w:szCs w:val="16"/>
          </w:rPr>
          <w:t>Page/</w:t>
        </w:r>
        <w:r w:rsidRPr="002601C9">
          <w:rPr>
            <w:sz w:val="16"/>
            <w:szCs w:val="16"/>
          </w:rPr>
          <w:fldChar w:fldCharType="begin"/>
        </w:r>
        <w:r w:rsidRPr="002601C9">
          <w:rPr>
            <w:sz w:val="16"/>
            <w:szCs w:val="16"/>
          </w:rPr>
          <w:instrText xml:space="preserve"> PAGE   \* MERGEFORMAT </w:instrText>
        </w:r>
        <w:r w:rsidRPr="002601C9">
          <w:rPr>
            <w:sz w:val="16"/>
            <w:szCs w:val="16"/>
          </w:rPr>
          <w:fldChar w:fldCharType="separate"/>
        </w:r>
        <w:r w:rsidRPr="002601C9">
          <w:rPr>
            <w:noProof/>
            <w:sz w:val="16"/>
            <w:szCs w:val="16"/>
          </w:rPr>
          <w:t>2</w:t>
        </w:r>
        <w:r w:rsidRPr="002601C9">
          <w:rPr>
            <w:noProof/>
            <w:sz w:val="16"/>
            <w:szCs w:val="16"/>
          </w:rPr>
          <w:fldChar w:fldCharType="end"/>
        </w:r>
      </w:p>
    </w:sdtContent>
  </w:sdt>
  <w:p w14:paraId="0836216C" w14:textId="77777777" w:rsidR="002601C9" w:rsidRDefault="00260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21CE" w14:textId="77777777" w:rsidR="00633191" w:rsidRDefault="00633191" w:rsidP="00673FDD">
      <w:r>
        <w:separator/>
      </w:r>
    </w:p>
  </w:footnote>
  <w:footnote w:type="continuationSeparator" w:id="0">
    <w:p w14:paraId="6278C80E" w14:textId="77777777" w:rsidR="00633191" w:rsidRDefault="00633191" w:rsidP="0067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93F8" w14:textId="00BC6213" w:rsidR="00673FDD" w:rsidRPr="00AD676F" w:rsidRDefault="00673FDD">
    <w:pPr>
      <w:pStyle w:val="Header"/>
      <w:rPr>
        <w:sz w:val="22"/>
        <w:szCs w:val="22"/>
      </w:rPr>
    </w:pPr>
    <w:r w:rsidRPr="00AD676F">
      <w:rPr>
        <w:i/>
        <w:iCs/>
        <w:sz w:val="22"/>
        <w:szCs w:val="22"/>
      </w:rPr>
      <w:t>Distance Education</w:t>
    </w:r>
    <w:r w:rsidRPr="00AD676F">
      <w:rPr>
        <w:sz w:val="22"/>
        <w:szCs w:val="22"/>
      </w:rPr>
      <w:t xml:space="preserve"> Special Issue</w:t>
    </w:r>
    <w:r w:rsidR="00876456" w:rsidRPr="00AD676F">
      <w:rPr>
        <w:sz w:val="22"/>
        <w:szCs w:val="22"/>
      </w:rPr>
      <w:t>:</w:t>
    </w:r>
    <w:r w:rsidR="00AD676F" w:rsidRPr="00AD676F">
      <w:rPr>
        <w:sz w:val="22"/>
        <w:szCs w:val="22"/>
      </w:rPr>
      <w:t xml:space="preserve"> </w:t>
    </w:r>
    <w:r w:rsidR="002D2A5B" w:rsidRPr="00AD676F">
      <w:rPr>
        <w:sz w:val="22"/>
        <w:szCs w:val="22"/>
      </w:rPr>
      <w:t>“</w:t>
    </w:r>
    <w:r w:rsidRPr="00AD676F">
      <w:rPr>
        <w:sz w:val="22"/>
        <w:szCs w:val="22"/>
      </w:rPr>
      <w:t>Inclusive Distance Education for Learners with Dis/Abilities</w:t>
    </w:r>
    <w:r w:rsidR="002D2A5B" w:rsidRPr="00AD676F">
      <w:rPr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35F83"/>
    <w:multiLevelType w:val="multilevel"/>
    <w:tmpl w:val="E130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F4B79"/>
    <w:multiLevelType w:val="hybridMultilevel"/>
    <w:tmpl w:val="64128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114856">
    <w:abstractNumId w:val="1"/>
  </w:num>
  <w:num w:numId="2" w16cid:durableId="147437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CD"/>
    <w:rsid w:val="00003B23"/>
    <w:rsid w:val="00045933"/>
    <w:rsid w:val="00061D26"/>
    <w:rsid w:val="00064AB6"/>
    <w:rsid w:val="00067A1B"/>
    <w:rsid w:val="00090EF5"/>
    <w:rsid w:val="00093382"/>
    <w:rsid w:val="000E13AF"/>
    <w:rsid w:val="000F6496"/>
    <w:rsid w:val="000F756E"/>
    <w:rsid w:val="00120A28"/>
    <w:rsid w:val="00135244"/>
    <w:rsid w:val="0014581E"/>
    <w:rsid w:val="0017177E"/>
    <w:rsid w:val="001900F3"/>
    <w:rsid w:val="001971E4"/>
    <w:rsid w:val="001F3635"/>
    <w:rsid w:val="00200118"/>
    <w:rsid w:val="002274ED"/>
    <w:rsid w:val="00230345"/>
    <w:rsid w:val="0023324C"/>
    <w:rsid w:val="00237048"/>
    <w:rsid w:val="002601C9"/>
    <w:rsid w:val="0027017A"/>
    <w:rsid w:val="00283975"/>
    <w:rsid w:val="002B7E03"/>
    <w:rsid w:val="002D2A5B"/>
    <w:rsid w:val="002D4441"/>
    <w:rsid w:val="00306212"/>
    <w:rsid w:val="003156E4"/>
    <w:rsid w:val="00320BC1"/>
    <w:rsid w:val="00334210"/>
    <w:rsid w:val="00360646"/>
    <w:rsid w:val="0039741F"/>
    <w:rsid w:val="004124B4"/>
    <w:rsid w:val="004322D4"/>
    <w:rsid w:val="00450039"/>
    <w:rsid w:val="004B6AA8"/>
    <w:rsid w:val="00511551"/>
    <w:rsid w:val="00542C89"/>
    <w:rsid w:val="00550439"/>
    <w:rsid w:val="00575682"/>
    <w:rsid w:val="00575E43"/>
    <w:rsid w:val="005B7A59"/>
    <w:rsid w:val="005E1FD3"/>
    <w:rsid w:val="00633191"/>
    <w:rsid w:val="00647BB2"/>
    <w:rsid w:val="00673FDD"/>
    <w:rsid w:val="006858EC"/>
    <w:rsid w:val="00686131"/>
    <w:rsid w:val="006B1EF0"/>
    <w:rsid w:val="006B5F10"/>
    <w:rsid w:val="00711B8E"/>
    <w:rsid w:val="00732B8D"/>
    <w:rsid w:val="007B69CD"/>
    <w:rsid w:val="008121EE"/>
    <w:rsid w:val="00813D9A"/>
    <w:rsid w:val="00871427"/>
    <w:rsid w:val="00876456"/>
    <w:rsid w:val="00887EDF"/>
    <w:rsid w:val="008B11B8"/>
    <w:rsid w:val="0090441D"/>
    <w:rsid w:val="009111CD"/>
    <w:rsid w:val="009640A8"/>
    <w:rsid w:val="00997045"/>
    <w:rsid w:val="009978C7"/>
    <w:rsid w:val="009D7DCD"/>
    <w:rsid w:val="00A25D26"/>
    <w:rsid w:val="00A5511C"/>
    <w:rsid w:val="00A738A4"/>
    <w:rsid w:val="00A977C6"/>
    <w:rsid w:val="00AA11C2"/>
    <w:rsid w:val="00AD676F"/>
    <w:rsid w:val="00AD7138"/>
    <w:rsid w:val="00AE0688"/>
    <w:rsid w:val="00AE0780"/>
    <w:rsid w:val="00AE41BC"/>
    <w:rsid w:val="00AE63DC"/>
    <w:rsid w:val="00B1337F"/>
    <w:rsid w:val="00B70CDA"/>
    <w:rsid w:val="00BB2358"/>
    <w:rsid w:val="00C131AD"/>
    <w:rsid w:val="00C319EA"/>
    <w:rsid w:val="00C447F4"/>
    <w:rsid w:val="00CA40B0"/>
    <w:rsid w:val="00CC4E20"/>
    <w:rsid w:val="00CC6AA0"/>
    <w:rsid w:val="00CD321C"/>
    <w:rsid w:val="00D25879"/>
    <w:rsid w:val="00D3316E"/>
    <w:rsid w:val="00D4239C"/>
    <w:rsid w:val="00D726CC"/>
    <w:rsid w:val="00E33D6B"/>
    <w:rsid w:val="00E41FCA"/>
    <w:rsid w:val="00E62C67"/>
    <w:rsid w:val="00E63617"/>
    <w:rsid w:val="00E86BFE"/>
    <w:rsid w:val="00EB4469"/>
    <w:rsid w:val="00ED695C"/>
    <w:rsid w:val="00ED6B53"/>
    <w:rsid w:val="00F04050"/>
    <w:rsid w:val="00F17ECD"/>
    <w:rsid w:val="00F34411"/>
    <w:rsid w:val="00F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6194E"/>
  <w15:chartTrackingRefBased/>
  <w15:docId w15:val="{B4CBE5DB-13D8-9349-8D62-8965AAC8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1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124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FDD"/>
  </w:style>
  <w:style w:type="paragraph" w:styleId="Footer">
    <w:name w:val="footer"/>
    <w:basedOn w:val="Normal"/>
    <w:link w:val="FooterChar"/>
    <w:uiPriority w:val="99"/>
    <w:unhideWhenUsed/>
    <w:rsid w:val="00673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FDD"/>
  </w:style>
  <w:style w:type="character" w:customStyle="1" w:styleId="apple-converted-space">
    <w:name w:val="apple-converted-space"/>
    <w:basedOn w:val="DefaultParagraphFont"/>
    <w:rsid w:val="00AE41BC"/>
  </w:style>
  <w:style w:type="paragraph" w:styleId="NormalWeb">
    <w:name w:val="Normal (Web)"/>
    <w:basedOn w:val="Normal"/>
    <w:uiPriority w:val="99"/>
    <w:semiHidden/>
    <w:unhideWhenUsed/>
    <w:rsid w:val="001900F3"/>
    <w:pPr>
      <w:spacing w:before="100" w:beforeAutospacing="1" w:after="100" w:afterAutospacing="1"/>
    </w:pPr>
  </w:style>
  <w:style w:type="character" w:customStyle="1" w:styleId="hlfld-contribauthor">
    <w:name w:val="hlfld-contribauthor"/>
    <w:basedOn w:val="DefaultParagraphFont"/>
    <w:rsid w:val="00550439"/>
  </w:style>
  <w:style w:type="character" w:customStyle="1" w:styleId="nlmgiven-names">
    <w:name w:val="nlm_given-names"/>
    <w:basedOn w:val="DefaultParagraphFont"/>
    <w:rsid w:val="00550439"/>
  </w:style>
  <w:style w:type="character" w:customStyle="1" w:styleId="nlmyear">
    <w:name w:val="nlm_year"/>
    <w:basedOn w:val="DefaultParagraphFont"/>
    <w:rsid w:val="00550439"/>
  </w:style>
  <w:style w:type="character" w:customStyle="1" w:styleId="nlmarticle-title">
    <w:name w:val="nlm_article-title"/>
    <w:basedOn w:val="DefaultParagraphFont"/>
    <w:rsid w:val="00550439"/>
  </w:style>
  <w:style w:type="character" w:customStyle="1" w:styleId="nlmfpage">
    <w:name w:val="nlm_fpage"/>
    <w:basedOn w:val="DefaultParagraphFont"/>
    <w:rsid w:val="00550439"/>
  </w:style>
  <w:style w:type="character" w:customStyle="1" w:styleId="nlmlpage">
    <w:name w:val="nlm_lpage"/>
    <w:basedOn w:val="DefaultParagraphFont"/>
    <w:rsid w:val="00550439"/>
  </w:style>
  <w:style w:type="character" w:customStyle="1" w:styleId="reflink-block">
    <w:name w:val="reflink-block"/>
    <w:basedOn w:val="DefaultParagraphFont"/>
    <w:rsid w:val="00550439"/>
  </w:style>
  <w:style w:type="character" w:customStyle="1" w:styleId="googlescholar-container">
    <w:name w:val="googlescholar-container"/>
    <w:basedOn w:val="DefaultParagraphFont"/>
    <w:rsid w:val="00550439"/>
  </w:style>
  <w:style w:type="character" w:styleId="FollowedHyperlink">
    <w:name w:val="FollowedHyperlink"/>
    <w:basedOn w:val="DefaultParagraphFont"/>
    <w:uiPriority w:val="99"/>
    <w:semiHidden/>
    <w:unhideWhenUsed/>
    <w:rsid w:val="00CA40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7177E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124B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rice@unm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yrice@unm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981-19-0351-9_49-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stga.edu/~distance/ojdla/summer162/layne_boston_ice16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nnmi@w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Rice</dc:creator>
  <cp:keywords/>
  <dc:description/>
  <cp:lastModifiedBy>Som Naidu</cp:lastModifiedBy>
  <cp:revision>20</cp:revision>
  <dcterms:created xsi:type="dcterms:W3CDTF">2022-02-24T03:42:00Z</dcterms:created>
  <dcterms:modified xsi:type="dcterms:W3CDTF">2022-04-15T04:58:00Z</dcterms:modified>
</cp:coreProperties>
</file>